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DE4B9E"/>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DE4B9E">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DE4B9E">
            <w:pPr>
              <w:rPr>
                <w:rStyle w:val="Firstpagetablebold"/>
              </w:rPr>
            </w:pPr>
            <w:r w:rsidRPr="00F95BC9">
              <w:rPr>
                <w:rStyle w:val="Firstpagetablebold"/>
              </w:rPr>
              <w:t>City Executive Board</w:t>
            </w:r>
          </w:p>
        </w:tc>
      </w:tr>
      <w:tr w:rsidR="00CE544A" w:rsidRPr="00975B07" w:rsidTr="005F7F7E">
        <w:tc>
          <w:tcPr>
            <w:tcW w:w="2438" w:type="dxa"/>
            <w:shd w:val="clear" w:color="auto" w:fill="auto"/>
          </w:tcPr>
          <w:p w:rsidR="00F445B1" w:rsidRPr="00975B07" w:rsidRDefault="00F445B1" w:rsidP="00DE4B9E">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91171B" w:rsidP="00DE4B9E">
            <w:pPr>
              <w:rPr>
                <w:b/>
              </w:rPr>
            </w:pPr>
            <w:r>
              <w:rPr>
                <w:rStyle w:val="Firstpagetablebold"/>
              </w:rPr>
              <w:t>9 February 2017</w:t>
            </w:r>
          </w:p>
        </w:tc>
      </w:tr>
      <w:tr w:rsidR="00CE544A" w:rsidRPr="00975B07" w:rsidTr="005F7F7E">
        <w:tc>
          <w:tcPr>
            <w:tcW w:w="2438" w:type="dxa"/>
            <w:shd w:val="clear" w:color="auto" w:fill="auto"/>
          </w:tcPr>
          <w:p w:rsidR="00F445B1" w:rsidRPr="00975B07" w:rsidRDefault="00F445B1" w:rsidP="00DE4B9E">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91171B" w:rsidP="00DE4B9E">
            <w:pPr>
              <w:rPr>
                <w:rStyle w:val="Firstpagetablebold"/>
              </w:rPr>
            </w:pPr>
            <w:r>
              <w:rPr>
                <w:rStyle w:val="Firstpagetablebold"/>
              </w:rPr>
              <w:t>Head of Housing and Property Services and Head of Financial services</w:t>
            </w:r>
          </w:p>
        </w:tc>
      </w:tr>
      <w:tr w:rsidR="00CE544A" w:rsidRPr="00975B07" w:rsidTr="005F7F7E">
        <w:tc>
          <w:tcPr>
            <w:tcW w:w="2438" w:type="dxa"/>
            <w:shd w:val="clear" w:color="auto" w:fill="auto"/>
          </w:tcPr>
          <w:p w:rsidR="00F445B1" w:rsidRPr="00975B07" w:rsidRDefault="00F445B1" w:rsidP="00DE4B9E">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172A56" w:rsidP="00DE4B9E">
            <w:pPr>
              <w:rPr>
                <w:rStyle w:val="Firstpagetablebold"/>
              </w:rPr>
            </w:pPr>
            <w:r w:rsidRPr="00172A56">
              <w:rPr>
                <w:rStyle w:val="Firstpagetablebold"/>
              </w:rPr>
              <w:t>Sale of properties to Oxford City Housing Limited</w:t>
            </w:r>
            <w:r w:rsidR="0091171B">
              <w:rPr>
                <w:rStyle w:val="Firstpagetablebold"/>
              </w:rPr>
              <w:t>.</w:t>
            </w:r>
          </w:p>
        </w:tc>
      </w:tr>
    </w:tbl>
    <w:p w:rsidR="004F20EF" w:rsidRDefault="004F20EF" w:rsidP="00DE4B9E"/>
    <w:tbl>
      <w:tblPr>
        <w:tblW w:w="0" w:type="auto"/>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68"/>
        <w:gridCol w:w="2012"/>
        <w:gridCol w:w="6407"/>
      </w:tblGrid>
      <w:tr w:rsidR="00D5547E" w:rsidTr="00DE18A4">
        <w:trPr>
          <w:trHeight w:val="389"/>
        </w:trPr>
        <w:tc>
          <w:tcPr>
            <w:tcW w:w="8987" w:type="dxa"/>
            <w:gridSpan w:val="3"/>
            <w:tcBorders>
              <w:bottom w:val="single" w:sz="8" w:space="0" w:color="000000"/>
            </w:tcBorders>
            <w:hideMark/>
          </w:tcPr>
          <w:p w:rsidR="00D5547E" w:rsidRDefault="00745BF0" w:rsidP="00DE18A4">
            <w:pPr>
              <w:spacing w:after="0"/>
              <w:rPr>
                <w:rStyle w:val="Firstpagetablebold"/>
              </w:rPr>
            </w:pPr>
            <w:r>
              <w:rPr>
                <w:rStyle w:val="Firstpagetablebold"/>
              </w:rPr>
              <w:t>Summary and r</w:t>
            </w:r>
            <w:r w:rsidR="00D5547E">
              <w:rPr>
                <w:rStyle w:val="Firstpagetablebold"/>
              </w:rPr>
              <w:t>ecommendations</w:t>
            </w:r>
          </w:p>
        </w:tc>
      </w:tr>
      <w:tr w:rsidR="00D5547E" w:rsidTr="00653DB1">
        <w:trPr>
          <w:trHeight w:val="1081"/>
        </w:trPr>
        <w:tc>
          <w:tcPr>
            <w:tcW w:w="2580" w:type="dxa"/>
            <w:gridSpan w:val="2"/>
            <w:tcBorders>
              <w:top w:val="single" w:sz="8" w:space="0" w:color="000000"/>
              <w:left w:val="single" w:sz="8" w:space="0" w:color="000000"/>
              <w:bottom w:val="nil"/>
              <w:right w:val="nil"/>
            </w:tcBorders>
            <w:hideMark/>
          </w:tcPr>
          <w:p w:rsidR="00D5547E" w:rsidRDefault="00D5547E" w:rsidP="00DE4B9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91171B" w:rsidP="0033030B">
            <w:r>
              <w:t>To update members on progress with the housing company</w:t>
            </w:r>
            <w:r w:rsidR="00D13D8C">
              <w:t>, to agree the transfer of 5 properties to the company and</w:t>
            </w:r>
            <w:r>
              <w:t xml:space="preserve"> </w:t>
            </w:r>
            <w:r w:rsidR="0033030B">
              <w:t>note</w:t>
            </w:r>
            <w:r>
              <w:t xml:space="preserve"> the initial development programme</w:t>
            </w:r>
            <w:r w:rsidR="00D13D8C">
              <w:t>.</w:t>
            </w:r>
          </w:p>
        </w:tc>
      </w:tr>
      <w:tr w:rsidR="00D5547E" w:rsidTr="00653DB1">
        <w:trPr>
          <w:trHeight w:val="337"/>
        </w:trPr>
        <w:tc>
          <w:tcPr>
            <w:tcW w:w="2580" w:type="dxa"/>
            <w:gridSpan w:val="2"/>
            <w:tcBorders>
              <w:top w:val="nil"/>
              <w:left w:val="single" w:sz="8" w:space="0" w:color="000000"/>
              <w:bottom w:val="nil"/>
              <w:right w:val="nil"/>
            </w:tcBorders>
            <w:hideMark/>
          </w:tcPr>
          <w:p w:rsidR="00D5547E" w:rsidRDefault="00D5547E" w:rsidP="00DE4B9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91171B" w:rsidRDefault="00D5547E" w:rsidP="00DE4B9E">
            <w:pPr>
              <w:rPr>
                <w:color w:val="FF0000"/>
              </w:rPr>
            </w:pPr>
            <w:r w:rsidRPr="001356F1">
              <w:t>Yes</w:t>
            </w:r>
            <w:r w:rsidR="0091171B">
              <w:t xml:space="preserve"> </w:t>
            </w:r>
          </w:p>
        </w:tc>
      </w:tr>
      <w:tr w:rsidR="00D5547E" w:rsidTr="00653DB1">
        <w:trPr>
          <w:trHeight w:val="842"/>
        </w:trPr>
        <w:tc>
          <w:tcPr>
            <w:tcW w:w="2580" w:type="dxa"/>
            <w:gridSpan w:val="2"/>
            <w:tcBorders>
              <w:top w:val="nil"/>
              <w:left w:val="single" w:sz="8" w:space="0" w:color="000000"/>
              <w:bottom w:val="nil"/>
              <w:right w:val="nil"/>
            </w:tcBorders>
            <w:hideMark/>
          </w:tcPr>
          <w:p w:rsidR="00D5547E" w:rsidRDefault="00D5547E" w:rsidP="00DE4B9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D5547E" w:rsidP="00DE18A4">
            <w:r w:rsidRPr="001356F1">
              <w:t>C</w:t>
            </w:r>
            <w:r w:rsidR="00DE18A4">
              <w:t>llrs</w:t>
            </w:r>
            <w:r w:rsidRPr="001356F1">
              <w:t xml:space="preserve"> </w:t>
            </w:r>
            <w:r w:rsidR="0091171B">
              <w:t>Mike Rowley</w:t>
            </w:r>
            <w:r w:rsidR="00DE18A4">
              <w:t xml:space="preserve">, </w:t>
            </w:r>
            <w:r w:rsidR="00806D1E">
              <w:t>Housing and Ed Turner</w:t>
            </w:r>
            <w:r w:rsidR="00DE18A4">
              <w:t>,</w:t>
            </w:r>
            <w:r w:rsidR="00806D1E">
              <w:t xml:space="preserve"> Finance, Asset Management and Public Health.</w:t>
            </w:r>
          </w:p>
        </w:tc>
      </w:tr>
      <w:tr w:rsidR="0080749A" w:rsidTr="00653DB1">
        <w:trPr>
          <w:trHeight w:val="337"/>
        </w:trPr>
        <w:tc>
          <w:tcPr>
            <w:tcW w:w="2580" w:type="dxa"/>
            <w:gridSpan w:val="2"/>
            <w:tcBorders>
              <w:top w:val="nil"/>
              <w:left w:val="single" w:sz="8" w:space="0" w:color="000000"/>
              <w:bottom w:val="nil"/>
              <w:right w:val="nil"/>
            </w:tcBorders>
          </w:tcPr>
          <w:p w:rsidR="0080749A" w:rsidRDefault="0080749A" w:rsidP="00DE4B9E">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806D1E" w:rsidP="00DE4B9E">
            <w:r>
              <w:t>Meeting Housing Needs</w:t>
            </w:r>
            <w:r w:rsidR="0080749A" w:rsidRPr="001356F1">
              <w:t>.</w:t>
            </w:r>
          </w:p>
        </w:tc>
      </w:tr>
      <w:tr w:rsidR="00D5547E" w:rsidTr="00653DB1">
        <w:trPr>
          <w:trHeight w:val="704"/>
        </w:trPr>
        <w:tc>
          <w:tcPr>
            <w:tcW w:w="2580" w:type="dxa"/>
            <w:gridSpan w:val="2"/>
            <w:tcBorders>
              <w:top w:val="nil"/>
              <w:left w:val="single" w:sz="8" w:space="0" w:color="000000"/>
              <w:bottom w:val="nil"/>
              <w:right w:val="nil"/>
            </w:tcBorders>
            <w:hideMark/>
          </w:tcPr>
          <w:p w:rsidR="00D5547E" w:rsidRDefault="00D5547E" w:rsidP="00DE4B9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806D1E" w:rsidP="00DE4B9E">
            <w:r>
              <w:t>Housing Strategy 2015 – 2018.</w:t>
            </w:r>
          </w:p>
        </w:tc>
      </w:tr>
      <w:tr w:rsidR="005F7F7E" w:rsidRPr="00975B07" w:rsidTr="00DE18A4">
        <w:trPr>
          <w:trHeight w:val="558"/>
        </w:trPr>
        <w:tc>
          <w:tcPr>
            <w:tcW w:w="8987" w:type="dxa"/>
            <w:gridSpan w:val="3"/>
            <w:tcBorders>
              <w:bottom w:val="single" w:sz="8" w:space="0" w:color="000000"/>
            </w:tcBorders>
          </w:tcPr>
          <w:p w:rsidR="005F7F7E" w:rsidRPr="00975B07" w:rsidRDefault="00DE18A4" w:rsidP="00DE18A4">
            <w:pPr>
              <w:spacing w:after="0"/>
            </w:pPr>
            <w:r>
              <w:rPr>
                <w:rStyle w:val="Firstpagetablebold"/>
              </w:rPr>
              <w:t>Recommendations</w:t>
            </w:r>
            <w:r w:rsidR="005F7F7E">
              <w:rPr>
                <w:rStyle w:val="Firstpagetablebold"/>
              </w:rPr>
              <w:t>:</w:t>
            </w:r>
            <w:r>
              <w:rPr>
                <w:rStyle w:val="Firstpagetablebold"/>
              </w:rPr>
              <w:t xml:space="preserve"> </w:t>
            </w:r>
            <w:r w:rsidR="005F7F7E" w:rsidRPr="00DE18A4">
              <w:rPr>
                <w:rStyle w:val="Firstpagetablebold"/>
                <w:b w:val="0"/>
              </w:rPr>
              <w:t>That the City Executive Board resolves to:</w:t>
            </w:r>
          </w:p>
        </w:tc>
      </w:tr>
      <w:tr w:rsidR="0030208D" w:rsidRPr="00975B07" w:rsidTr="00653DB1">
        <w:trPr>
          <w:trHeight w:val="248"/>
        </w:trPr>
        <w:tc>
          <w:tcPr>
            <w:tcW w:w="568" w:type="dxa"/>
            <w:tcBorders>
              <w:top w:val="single" w:sz="8" w:space="0" w:color="000000"/>
              <w:left w:val="single" w:sz="8" w:space="0" w:color="000000"/>
              <w:bottom w:val="nil"/>
              <w:right w:val="nil"/>
            </w:tcBorders>
          </w:tcPr>
          <w:p w:rsidR="0030208D" w:rsidRPr="00412ED0" w:rsidRDefault="00DE18A4" w:rsidP="00DE18A4">
            <w:r>
              <w:t>1</w:t>
            </w:r>
          </w:p>
        </w:tc>
        <w:tc>
          <w:tcPr>
            <w:tcW w:w="8419" w:type="dxa"/>
            <w:gridSpan w:val="2"/>
            <w:tcBorders>
              <w:top w:val="single" w:sz="8" w:space="0" w:color="000000"/>
              <w:left w:val="nil"/>
              <w:bottom w:val="nil"/>
              <w:right w:val="single" w:sz="8" w:space="0" w:color="000000"/>
            </w:tcBorders>
            <w:shd w:val="clear" w:color="auto" w:fill="auto"/>
          </w:tcPr>
          <w:p w:rsidR="0030208D" w:rsidRPr="00412ED0" w:rsidRDefault="00412ED0" w:rsidP="00DE18A4">
            <w:r w:rsidRPr="00DE18A4">
              <w:rPr>
                <w:rStyle w:val="Firstpagetablebold"/>
              </w:rPr>
              <w:t>Note</w:t>
            </w:r>
            <w:r w:rsidRPr="00076D3A">
              <w:rPr>
                <w:rStyle w:val="Firstpagetablebold"/>
                <w:b w:val="0"/>
              </w:rPr>
              <w:t xml:space="preserve"> progress with the establishment of the</w:t>
            </w:r>
            <w:r w:rsidR="007A370A">
              <w:rPr>
                <w:rStyle w:val="Firstpagetablebold"/>
                <w:b w:val="0"/>
              </w:rPr>
              <w:t xml:space="preserve"> Oxford City</w:t>
            </w:r>
            <w:r w:rsidRPr="00076D3A">
              <w:rPr>
                <w:rStyle w:val="Firstpagetablebold"/>
                <w:b w:val="0"/>
              </w:rPr>
              <w:t xml:space="preserve"> Housing Company</w:t>
            </w:r>
            <w:r w:rsidR="00D13D8C" w:rsidRPr="00076D3A">
              <w:rPr>
                <w:rStyle w:val="Firstpagetablebold"/>
                <w:b w:val="0"/>
              </w:rPr>
              <w:t>.</w:t>
            </w:r>
          </w:p>
        </w:tc>
      </w:tr>
      <w:tr w:rsidR="0030208D" w:rsidRPr="00975B07" w:rsidTr="00653DB1">
        <w:trPr>
          <w:trHeight w:val="248"/>
        </w:trPr>
        <w:tc>
          <w:tcPr>
            <w:tcW w:w="568" w:type="dxa"/>
            <w:tcBorders>
              <w:top w:val="nil"/>
              <w:left w:val="single" w:sz="8" w:space="0" w:color="000000"/>
              <w:bottom w:val="nil"/>
              <w:right w:val="nil"/>
            </w:tcBorders>
          </w:tcPr>
          <w:p w:rsidR="0030208D" w:rsidRPr="00412ED0" w:rsidRDefault="00DE18A4" w:rsidP="00DE4B9E">
            <w:r>
              <w:t>2</w:t>
            </w:r>
          </w:p>
        </w:tc>
        <w:tc>
          <w:tcPr>
            <w:tcW w:w="8419" w:type="dxa"/>
            <w:gridSpan w:val="2"/>
            <w:tcBorders>
              <w:top w:val="nil"/>
              <w:left w:val="nil"/>
              <w:bottom w:val="nil"/>
              <w:right w:val="single" w:sz="8" w:space="0" w:color="000000"/>
            </w:tcBorders>
            <w:shd w:val="clear" w:color="auto" w:fill="auto"/>
          </w:tcPr>
          <w:p w:rsidR="0030208D" w:rsidRPr="00412ED0" w:rsidRDefault="00DE18A4" w:rsidP="00E23CFD">
            <w:r w:rsidRPr="00DE18A4">
              <w:rPr>
                <w:rStyle w:val="Firstpagetablebold"/>
              </w:rPr>
              <w:t>Agree</w:t>
            </w:r>
            <w:r w:rsidRPr="00076D3A">
              <w:rPr>
                <w:rStyle w:val="Firstpagetablebold"/>
                <w:b w:val="0"/>
              </w:rPr>
              <w:t xml:space="preserve"> to the sale of the 5 properties detailed at section 3 for the sum of £730,000 subject to the conditions set out in this report</w:t>
            </w:r>
            <w:r>
              <w:rPr>
                <w:rStyle w:val="Firstpagetablebold"/>
                <w:b w:val="0"/>
              </w:rPr>
              <w:t xml:space="preserve"> </w:t>
            </w:r>
            <w:r w:rsidRPr="00D611A0">
              <w:rPr>
                <w:rStyle w:val="Firstpagetablebold"/>
                <w:b w:val="0"/>
              </w:rPr>
              <w:t>and subject to the</w:t>
            </w:r>
            <w:r>
              <w:rPr>
                <w:rStyle w:val="Firstpagetablebold"/>
                <w:b w:val="0"/>
              </w:rPr>
              <w:t xml:space="preserve"> </w:t>
            </w:r>
            <w:r w:rsidRPr="00D611A0">
              <w:rPr>
                <w:rStyle w:val="Firstpagetablebold"/>
                <w:b w:val="0"/>
              </w:rPr>
              <w:t>verification of the valuation prices.</w:t>
            </w:r>
          </w:p>
        </w:tc>
      </w:tr>
      <w:tr w:rsidR="00232F5B" w:rsidRPr="00975B07" w:rsidTr="00653DB1">
        <w:trPr>
          <w:trHeight w:val="248"/>
        </w:trPr>
        <w:tc>
          <w:tcPr>
            <w:tcW w:w="568" w:type="dxa"/>
            <w:tcBorders>
              <w:top w:val="nil"/>
              <w:left w:val="single" w:sz="8" w:space="0" w:color="000000"/>
              <w:bottom w:val="nil"/>
              <w:right w:val="nil"/>
            </w:tcBorders>
          </w:tcPr>
          <w:p w:rsidR="0030208D" w:rsidRPr="00412ED0" w:rsidRDefault="00DE18A4" w:rsidP="00DE4B9E">
            <w:r>
              <w:t>3</w:t>
            </w:r>
          </w:p>
        </w:tc>
        <w:tc>
          <w:tcPr>
            <w:tcW w:w="8419" w:type="dxa"/>
            <w:gridSpan w:val="2"/>
            <w:tcBorders>
              <w:top w:val="nil"/>
              <w:left w:val="nil"/>
              <w:bottom w:val="nil"/>
              <w:right w:val="single" w:sz="8" w:space="0" w:color="000000"/>
            </w:tcBorders>
            <w:shd w:val="clear" w:color="auto" w:fill="auto"/>
          </w:tcPr>
          <w:p w:rsidR="0030208D" w:rsidRPr="00412ED0" w:rsidRDefault="00DE18A4" w:rsidP="007A370A">
            <w:r w:rsidRPr="00DE18A4">
              <w:rPr>
                <w:rStyle w:val="Firstpagetablebold"/>
              </w:rPr>
              <w:t>Recommend that Council</w:t>
            </w:r>
            <w:r>
              <w:rPr>
                <w:rStyle w:val="Firstpagetablebold"/>
                <w:b w:val="0"/>
              </w:rPr>
              <w:t xml:space="preserve"> make available in 2016-17, a state aid compliant loan facility for Oxford City Ho</w:t>
            </w:r>
            <w:r w:rsidR="007A370A">
              <w:rPr>
                <w:rStyle w:val="Firstpagetablebold"/>
                <w:b w:val="0"/>
              </w:rPr>
              <w:t>using</w:t>
            </w:r>
            <w:r>
              <w:rPr>
                <w:rStyle w:val="Firstpagetablebold"/>
                <w:b w:val="0"/>
              </w:rPr>
              <w:t xml:space="preserve"> L</w:t>
            </w:r>
            <w:r w:rsidR="007A370A">
              <w:rPr>
                <w:rStyle w:val="Firstpagetablebold"/>
                <w:b w:val="0"/>
              </w:rPr>
              <w:t>imited</w:t>
            </w:r>
            <w:r>
              <w:rPr>
                <w:rStyle w:val="Firstpagetablebold"/>
                <w:b w:val="0"/>
              </w:rPr>
              <w:t xml:space="preserve"> to enable the company to purchase the 5 properties identified in this report; the loan being for £742,606 which includes the purchase price and the associated costs of acquisition.</w:t>
            </w:r>
          </w:p>
        </w:tc>
      </w:tr>
      <w:tr w:rsidR="00232F5B" w:rsidRPr="00975B07" w:rsidTr="00653DB1">
        <w:trPr>
          <w:trHeight w:val="248"/>
        </w:trPr>
        <w:tc>
          <w:tcPr>
            <w:tcW w:w="568" w:type="dxa"/>
            <w:tcBorders>
              <w:top w:val="nil"/>
              <w:left w:val="single" w:sz="8" w:space="0" w:color="000000"/>
              <w:bottom w:val="nil"/>
              <w:right w:val="nil"/>
            </w:tcBorders>
          </w:tcPr>
          <w:p w:rsidR="0030208D" w:rsidRPr="00975B07" w:rsidRDefault="00DE18A4" w:rsidP="00DE4B9E">
            <w:r>
              <w:t>4</w:t>
            </w:r>
          </w:p>
        </w:tc>
        <w:tc>
          <w:tcPr>
            <w:tcW w:w="8419" w:type="dxa"/>
            <w:gridSpan w:val="2"/>
            <w:tcBorders>
              <w:top w:val="nil"/>
              <w:left w:val="nil"/>
              <w:bottom w:val="nil"/>
              <w:right w:val="single" w:sz="8" w:space="0" w:color="000000"/>
            </w:tcBorders>
            <w:shd w:val="clear" w:color="auto" w:fill="auto"/>
          </w:tcPr>
          <w:p w:rsidR="0030208D" w:rsidRPr="001356F1" w:rsidRDefault="00DE18A4" w:rsidP="00DE18A4">
            <w:r w:rsidRPr="00DE18A4">
              <w:rPr>
                <w:rStyle w:val="Firstpagetablebold"/>
              </w:rPr>
              <w:t>Recommend that Council</w:t>
            </w:r>
            <w:r>
              <w:rPr>
                <w:rStyle w:val="Firstpagetablebold"/>
                <w:b w:val="0"/>
              </w:rPr>
              <w:t xml:space="preserve"> include the provision of the loan facility mentioned above as an additional expenditure item in the 2016/17 capital programme, funded by the associated capital receipt received from the disposal.</w:t>
            </w:r>
          </w:p>
        </w:tc>
      </w:tr>
      <w:tr w:rsidR="00232F5B" w:rsidRPr="00975B07" w:rsidTr="00DE18A4">
        <w:trPr>
          <w:trHeight w:val="84"/>
        </w:trPr>
        <w:tc>
          <w:tcPr>
            <w:tcW w:w="568" w:type="dxa"/>
            <w:tcBorders>
              <w:top w:val="nil"/>
              <w:left w:val="single" w:sz="8" w:space="0" w:color="000000"/>
              <w:bottom w:val="nil"/>
              <w:right w:val="nil"/>
            </w:tcBorders>
          </w:tcPr>
          <w:p w:rsidR="0030208D" w:rsidRPr="00975B07" w:rsidRDefault="00DE18A4" w:rsidP="00DE4B9E">
            <w:r>
              <w:t>5</w:t>
            </w:r>
          </w:p>
        </w:tc>
        <w:tc>
          <w:tcPr>
            <w:tcW w:w="8419" w:type="dxa"/>
            <w:gridSpan w:val="2"/>
            <w:tcBorders>
              <w:top w:val="nil"/>
              <w:left w:val="nil"/>
              <w:bottom w:val="nil"/>
              <w:right w:val="single" w:sz="8" w:space="0" w:color="000000"/>
            </w:tcBorders>
            <w:shd w:val="clear" w:color="auto" w:fill="auto"/>
          </w:tcPr>
          <w:p w:rsidR="0030208D" w:rsidRDefault="003262CB" w:rsidP="00404487">
            <w:pPr>
              <w:spacing w:after="0"/>
              <w:contextualSpacing/>
              <w:jc w:val="both"/>
            </w:pPr>
            <w:r w:rsidRPr="003262CB">
              <w:rPr>
                <w:b/>
              </w:rPr>
              <w:t xml:space="preserve">Delegate authority </w:t>
            </w:r>
            <w:r>
              <w:t>to the Chief Executive</w:t>
            </w:r>
            <w:r w:rsidR="00404487">
              <w:t xml:space="preserve"> </w:t>
            </w:r>
            <w:r w:rsidR="00404487" w:rsidRPr="00404487">
              <w:rPr>
                <w:rStyle w:val="Firstpagetablebold"/>
                <w:b w:val="0"/>
              </w:rPr>
              <w:t>in consultation with the Council’s Chief Finance Officer and Monitoring</w:t>
            </w:r>
            <w:r w:rsidR="00404487" w:rsidRPr="00404487">
              <w:rPr>
                <w:rStyle w:val="Firstpagetablebold"/>
                <w:b w:val="0"/>
              </w:rPr>
              <w:t xml:space="preserve"> Officer</w:t>
            </w:r>
            <w:r>
              <w:t xml:space="preserve"> to</w:t>
            </w:r>
            <w:r w:rsidRPr="003262CB">
              <w:rPr>
                <w:b/>
              </w:rPr>
              <w:t xml:space="preserve"> </w:t>
            </w:r>
            <w:r>
              <w:t xml:space="preserve">agree the final decision on sale and amount of loan that needs to be made available to the company, should the final valuations vary from those contained in the report. </w:t>
            </w:r>
          </w:p>
          <w:p w:rsidR="00404487" w:rsidRPr="001356F1" w:rsidRDefault="00404487" w:rsidP="00404487">
            <w:pPr>
              <w:spacing w:after="0"/>
              <w:contextualSpacing/>
              <w:jc w:val="both"/>
            </w:pPr>
            <w:bookmarkStart w:id="0" w:name="_GoBack"/>
            <w:bookmarkEnd w:id="0"/>
          </w:p>
        </w:tc>
      </w:tr>
      <w:tr w:rsidR="00DE18A4" w:rsidRPr="00975B07" w:rsidTr="0033030B">
        <w:trPr>
          <w:trHeight w:val="84"/>
        </w:trPr>
        <w:tc>
          <w:tcPr>
            <w:tcW w:w="568" w:type="dxa"/>
            <w:tcBorders>
              <w:top w:val="nil"/>
              <w:left w:val="single" w:sz="8" w:space="0" w:color="000000"/>
              <w:bottom w:val="single" w:sz="8" w:space="0" w:color="000000"/>
              <w:right w:val="nil"/>
            </w:tcBorders>
          </w:tcPr>
          <w:p w:rsidR="00DE18A4" w:rsidRDefault="00DE18A4" w:rsidP="00DE4B9E">
            <w:r>
              <w:lastRenderedPageBreak/>
              <w:t>6</w:t>
            </w:r>
          </w:p>
        </w:tc>
        <w:tc>
          <w:tcPr>
            <w:tcW w:w="8419" w:type="dxa"/>
            <w:gridSpan w:val="2"/>
            <w:tcBorders>
              <w:top w:val="nil"/>
              <w:left w:val="nil"/>
              <w:bottom w:val="single" w:sz="8" w:space="0" w:color="000000"/>
              <w:right w:val="single" w:sz="8" w:space="0" w:color="000000"/>
            </w:tcBorders>
            <w:shd w:val="clear" w:color="auto" w:fill="auto"/>
          </w:tcPr>
          <w:p w:rsidR="00DE18A4" w:rsidRPr="00D611A0" w:rsidRDefault="00DE18A4" w:rsidP="00DE18A4">
            <w:pPr>
              <w:rPr>
                <w:rStyle w:val="Firstpagetablebold"/>
                <w:b w:val="0"/>
              </w:rPr>
            </w:pPr>
            <w:r w:rsidRPr="00DE18A4">
              <w:rPr>
                <w:rStyle w:val="Firstpagetablebold"/>
              </w:rPr>
              <w:t>Note</w:t>
            </w:r>
            <w:r>
              <w:rPr>
                <w:rStyle w:val="Firstpagetablebold"/>
                <w:b w:val="0"/>
              </w:rPr>
              <w:t xml:space="preserve"> the draft development programme detailed in appendix 1 and that City Executive Board will receive further reports with regard to land sales to facilitate the delivery of that programme</w:t>
            </w:r>
          </w:p>
        </w:tc>
      </w:tr>
    </w:tbl>
    <w:p w:rsidR="00CE544A" w:rsidRPr="00DE18A4" w:rsidRDefault="00CE544A" w:rsidP="00DE4B9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DE18A4" w:rsidTr="0033030B">
        <w:trPr>
          <w:trHeight w:val="64"/>
        </w:trPr>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870B47" w:rsidRPr="00DE18A4" w:rsidRDefault="00DE18A4" w:rsidP="00DE18A4">
            <w:pPr>
              <w:jc w:val="center"/>
              <w:rPr>
                <w:b/>
              </w:rPr>
            </w:pPr>
            <w:r w:rsidRPr="00DE18A4">
              <w:rPr>
                <w:b/>
              </w:rPr>
              <w:t>Appendices</w:t>
            </w:r>
          </w:p>
        </w:tc>
      </w:tr>
      <w:tr w:rsidR="00ED5860" w:rsidRPr="00975B07" w:rsidTr="0033030B">
        <w:tc>
          <w:tcPr>
            <w:tcW w:w="2438" w:type="dxa"/>
            <w:tcBorders>
              <w:top w:val="single" w:sz="8" w:space="0" w:color="000000"/>
              <w:left w:val="single" w:sz="8" w:space="0" w:color="000000"/>
              <w:bottom w:val="nil"/>
              <w:right w:val="nil"/>
            </w:tcBorders>
            <w:shd w:val="clear" w:color="auto" w:fill="auto"/>
          </w:tcPr>
          <w:p w:rsidR="00ED5860" w:rsidRPr="00975B07" w:rsidRDefault="00ED5860" w:rsidP="00DE4B9E">
            <w:r w:rsidRPr="00975B07">
              <w:t>Appendix 1</w:t>
            </w:r>
          </w:p>
        </w:tc>
        <w:tc>
          <w:tcPr>
            <w:tcW w:w="6406" w:type="dxa"/>
            <w:tcBorders>
              <w:top w:val="single" w:sz="8" w:space="0" w:color="000000"/>
              <w:left w:val="nil"/>
              <w:bottom w:val="nil"/>
              <w:right w:val="single" w:sz="8" w:space="0" w:color="000000"/>
            </w:tcBorders>
          </w:tcPr>
          <w:p w:rsidR="00ED5860" w:rsidRPr="001356F1" w:rsidRDefault="00592FD1" w:rsidP="00DE4B9E">
            <w:r>
              <w:t>Draft development programme</w:t>
            </w:r>
          </w:p>
        </w:tc>
      </w:tr>
      <w:tr w:rsidR="00ED5860" w:rsidRPr="00975B07" w:rsidTr="00DE18A4">
        <w:tc>
          <w:tcPr>
            <w:tcW w:w="2438" w:type="dxa"/>
            <w:tcBorders>
              <w:top w:val="nil"/>
              <w:left w:val="single" w:sz="8" w:space="0" w:color="000000"/>
              <w:bottom w:val="nil"/>
              <w:right w:val="nil"/>
            </w:tcBorders>
            <w:shd w:val="clear" w:color="auto" w:fill="auto"/>
          </w:tcPr>
          <w:p w:rsidR="00ED5860" w:rsidRPr="00975B07" w:rsidRDefault="0030208D" w:rsidP="00DE4B9E">
            <w:r w:rsidRPr="00975B07">
              <w:t>Appendix 2</w:t>
            </w:r>
          </w:p>
        </w:tc>
        <w:tc>
          <w:tcPr>
            <w:tcW w:w="6406" w:type="dxa"/>
            <w:tcBorders>
              <w:top w:val="nil"/>
              <w:left w:val="nil"/>
              <w:bottom w:val="nil"/>
              <w:right w:val="single" w:sz="8" w:space="0" w:color="000000"/>
            </w:tcBorders>
          </w:tcPr>
          <w:p w:rsidR="00ED5860" w:rsidRPr="001356F1" w:rsidRDefault="00592FD1" w:rsidP="00DE4B9E">
            <w:r>
              <w:t>Risk Register</w:t>
            </w:r>
          </w:p>
        </w:tc>
      </w:tr>
      <w:tr w:rsidR="0030208D" w:rsidRPr="00975B07" w:rsidTr="00DE18A4">
        <w:tc>
          <w:tcPr>
            <w:tcW w:w="2438" w:type="dxa"/>
            <w:tcBorders>
              <w:top w:val="nil"/>
              <w:left w:val="single" w:sz="8" w:space="0" w:color="000000"/>
              <w:bottom w:val="single" w:sz="4" w:space="0" w:color="auto"/>
              <w:right w:val="nil"/>
            </w:tcBorders>
            <w:shd w:val="clear" w:color="auto" w:fill="auto"/>
          </w:tcPr>
          <w:p w:rsidR="0030208D" w:rsidRPr="00975B07" w:rsidRDefault="0030208D" w:rsidP="00DE4B9E">
            <w:r w:rsidRPr="00975B07">
              <w:t>Appendix 3</w:t>
            </w:r>
          </w:p>
        </w:tc>
        <w:tc>
          <w:tcPr>
            <w:tcW w:w="6406" w:type="dxa"/>
            <w:tcBorders>
              <w:top w:val="nil"/>
              <w:left w:val="nil"/>
              <w:bottom w:val="single" w:sz="4" w:space="0" w:color="auto"/>
              <w:right w:val="single" w:sz="8" w:space="0" w:color="000000"/>
            </w:tcBorders>
          </w:tcPr>
          <w:p w:rsidR="0030208D" w:rsidRPr="001356F1" w:rsidRDefault="00592FD1" w:rsidP="00DE4B9E">
            <w:r>
              <w:t>Equalities impact assessment</w:t>
            </w:r>
          </w:p>
        </w:tc>
      </w:tr>
    </w:tbl>
    <w:p w:rsidR="0040736F" w:rsidRPr="001356F1" w:rsidRDefault="00592FD1" w:rsidP="007A370A">
      <w:pPr>
        <w:pStyle w:val="Heading1"/>
      </w:pPr>
      <w:r>
        <w:t>B</w:t>
      </w:r>
      <w:r w:rsidR="00151888" w:rsidRPr="001356F1">
        <w:t>ackground</w:t>
      </w:r>
      <w:r w:rsidR="00404032" w:rsidRPr="001356F1">
        <w:t xml:space="preserve"> </w:t>
      </w:r>
    </w:p>
    <w:p w:rsidR="00E87F7A" w:rsidRDefault="00592FD1" w:rsidP="007A370A">
      <w:pPr>
        <w:pStyle w:val="Numberedlist"/>
      </w:pPr>
      <w:r>
        <w:t>Oxford’s housing crisis is acute with the city identified as the most unaffordable housing market in the UK. The lack of housing supply, quality and choice are a constraint on economic growth and a significant barrier to our ambition to be a world class city for everyone.</w:t>
      </w:r>
    </w:p>
    <w:p w:rsidR="00592FD1" w:rsidRDefault="00592FD1" w:rsidP="007A370A">
      <w:pPr>
        <w:pStyle w:val="Numberedlist"/>
      </w:pPr>
      <w:r>
        <w:t xml:space="preserve">Changes in Government policy </w:t>
      </w:r>
      <w:r w:rsidR="00665A33">
        <w:t xml:space="preserve">and the establishment of associated legislation </w:t>
      </w:r>
      <w:r>
        <w:t xml:space="preserve">in relation to </w:t>
      </w:r>
      <w:r w:rsidR="00665A33">
        <w:t xml:space="preserve">HRA </w:t>
      </w:r>
      <w:r>
        <w:t xml:space="preserve">rent reductions and </w:t>
      </w:r>
      <w:r w:rsidR="00665A33">
        <w:t xml:space="preserve">for local authority landlords to consider </w:t>
      </w:r>
      <w:r>
        <w:t xml:space="preserve">high value void sales to pay for the cost of </w:t>
      </w:r>
      <w:r w:rsidR="00665A33">
        <w:t xml:space="preserve">extending the </w:t>
      </w:r>
      <w:r>
        <w:t xml:space="preserve">Right to Buy </w:t>
      </w:r>
      <w:r w:rsidR="00665A33">
        <w:t>to</w:t>
      </w:r>
      <w:r>
        <w:t xml:space="preserve"> Housing Association</w:t>
      </w:r>
      <w:r w:rsidR="00665A33">
        <w:t xml:space="preserve"> tenants,</w:t>
      </w:r>
      <w:r>
        <w:t xml:space="preserve"> impacted very negatively</w:t>
      </w:r>
      <w:r w:rsidR="003C02F3">
        <w:t xml:space="preserve"> on our HRA business plan </w:t>
      </w:r>
      <w:r w:rsidR="00665A33">
        <w:t xml:space="preserve">investment aspirations </w:t>
      </w:r>
      <w:r w:rsidR="003C02F3">
        <w:t xml:space="preserve">and curtailed our ambition to build more Council housing </w:t>
      </w:r>
      <w:r w:rsidR="00C237E3">
        <w:t xml:space="preserve">from </w:t>
      </w:r>
      <w:r w:rsidR="00665A33">
        <w:t>HRA generated resources</w:t>
      </w:r>
      <w:r w:rsidR="00C237E3">
        <w:t>.</w:t>
      </w:r>
    </w:p>
    <w:p w:rsidR="003C02F3" w:rsidRDefault="007A370A" w:rsidP="007A370A">
      <w:pPr>
        <w:pStyle w:val="Numberedlist"/>
      </w:pPr>
      <w:r>
        <w:t xml:space="preserve">City Executive Board (CEB) </w:t>
      </w:r>
      <w:r w:rsidR="003C02F3">
        <w:t>on 17 March 2016 agreed to the establishment of a Council owned housing company with the following objectives</w:t>
      </w:r>
      <w:r w:rsidR="00665A33">
        <w:t>;</w:t>
      </w:r>
    </w:p>
    <w:p w:rsidR="003C02F3" w:rsidRDefault="003C02F3" w:rsidP="00DE4B9E">
      <w:pPr>
        <w:pStyle w:val="ListParagraph"/>
        <w:numPr>
          <w:ilvl w:val="0"/>
          <w:numId w:val="14"/>
        </w:numPr>
      </w:pPr>
      <w:r>
        <w:t xml:space="preserve">The purchase and management of the </w:t>
      </w:r>
      <w:r w:rsidR="001E5120">
        <w:t>social</w:t>
      </w:r>
      <w:r>
        <w:t xml:space="preserve"> rented units at Barton Park.</w:t>
      </w:r>
    </w:p>
    <w:p w:rsidR="003C02F3" w:rsidRDefault="003C02F3" w:rsidP="00DE4B9E">
      <w:pPr>
        <w:pStyle w:val="ListParagraph"/>
        <w:numPr>
          <w:ilvl w:val="0"/>
          <w:numId w:val="14"/>
        </w:numPr>
      </w:pPr>
      <w:r>
        <w:t>The development of new affordable housing with a range of tenures.</w:t>
      </w:r>
    </w:p>
    <w:p w:rsidR="003C02F3" w:rsidRDefault="003C02F3" w:rsidP="00DE4B9E">
      <w:pPr>
        <w:pStyle w:val="ListParagraph"/>
        <w:numPr>
          <w:ilvl w:val="0"/>
          <w:numId w:val="14"/>
        </w:numPr>
      </w:pPr>
      <w:r>
        <w:t>The purchase and management of</w:t>
      </w:r>
      <w:r w:rsidR="00665A33">
        <w:t xml:space="preserve"> the permitted number of </w:t>
      </w:r>
      <w:r>
        <w:t xml:space="preserve">high value voids </w:t>
      </w:r>
      <w:r w:rsidR="00665A33">
        <w:t xml:space="preserve">that could be transferred </w:t>
      </w:r>
      <w:r>
        <w:t>from the Council.</w:t>
      </w:r>
    </w:p>
    <w:p w:rsidR="00740776" w:rsidRPr="001356F1" w:rsidRDefault="00740776" w:rsidP="007A370A">
      <w:pPr>
        <w:pStyle w:val="ListParagraph"/>
        <w:numPr>
          <w:ilvl w:val="0"/>
          <w:numId w:val="14"/>
        </w:numPr>
      </w:pPr>
      <w:r>
        <w:t>To undertake estate regeneration schemes.</w:t>
      </w:r>
    </w:p>
    <w:p w:rsidR="00633578" w:rsidRDefault="007A370A" w:rsidP="007A370A">
      <w:pPr>
        <w:pStyle w:val="Heading1"/>
      </w:pPr>
      <w:r>
        <w:t xml:space="preserve"> Current position</w:t>
      </w:r>
    </w:p>
    <w:p w:rsidR="007A370A" w:rsidRDefault="00740776" w:rsidP="007A370A">
      <w:pPr>
        <w:pStyle w:val="Numberedlist"/>
      </w:pPr>
      <w:r>
        <w:t xml:space="preserve">The housing company has now been </w:t>
      </w:r>
      <w:r w:rsidR="0008106A">
        <w:t>established, with</w:t>
      </w:r>
      <w:r>
        <w:t xml:space="preserve"> Oxford City Housing Limited (OCHL) being incorporated in June 2016, and </w:t>
      </w:r>
      <w:r w:rsidR="007A370A">
        <w:t>C</w:t>
      </w:r>
      <w:r>
        <w:t xml:space="preserve">ompany Directors </w:t>
      </w:r>
      <w:r w:rsidR="00FF11CF">
        <w:t>have been appointed</w:t>
      </w:r>
      <w:r>
        <w:t xml:space="preserve">. For efficiency </w:t>
      </w:r>
      <w:r w:rsidR="00665A33">
        <w:t xml:space="preserve">and tax planning </w:t>
      </w:r>
      <w:r>
        <w:t xml:space="preserve">purposes the company is arranged as a group structure with a holding company and </w:t>
      </w:r>
      <w:r w:rsidR="003C4E82">
        <w:t xml:space="preserve">initially </w:t>
      </w:r>
      <w:r>
        <w:t xml:space="preserve">two subsidiaries, one for investment and the other for </w:t>
      </w:r>
      <w:r w:rsidR="00A72E57">
        <w:t xml:space="preserve">development. </w:t>
      </w:r>
      <w:r w:rsidR="003C4E82">
        <w:t xml:space="preserve">The opportunity to explore the introduction of additional subsidiaries e.g. maintenance of stock, has been left open for the company Board to consider as and when it is appropriate. </w:t>
      </w:r>
      <w:r w:rsidR="00A72E57">
        <w:t xml:space="preserve">The company is wholly owned by the Council and </w:t>
      </w:r>
      <w:r w:rsidR="003C4E82">
        <w:t xml:space="preserve">governance is </w:t>
      </w:r>
      <w:r w:rsidR="00027A8C">
        <w:t>provided by</w:t>
      </w:r>
      <w:r w:rsidR="00A72E57">
        <w:t xml:space="preserve"> </w:t>
      </w:r>
      <w:r w:rsidR="003C4E82">
        <w:t xml:space="preserve">the </w:t>
      </w:r>
      <w:r w:rsidR="00A72E57">
        <w:t>Directors subject to the shareholder’</w:t>
      </w:r>
      <w:r w:rsidR="005802BA">
        <w:t xml:space="preserve"> </w:t>
      </w:r>
      <w:r w:rsidR="00A72E57">
        <w:t>agreement</w:t>
      </w:r>
      <w:r w:rsidR="005802BA">
        <w:t>,</w:t>
      </w:r>
      <w:r w:rsidR="00E304AD">
        <w:t xml:space="preserve"> the shareholder being represented by the members of the</w:t>
      </w:r>
      <w:r w:rsidR="00A72E57">
        <w:t xml:space="preserve"> City Executive Board</w:t>
      </w:r>
      <w:r w:rsidR="003C4E82">
        <w:t>.</w:t>
      </w:r>
    </w:p>
    <w:p w:rsidR="00A72E57" w:rsidRDefault="00A72E57" w:rsidP="007A370A">
      <w:pPr>
        <w:pStyle w:val="Numberedlist"/>
      </w:pPr>
      <w:r>
        <w:t>Good progress is being made with regard to</w:t>
      </w:r>
      <w:r w:rsidR="0008106A">
        <w:t>;</w:t>
      </w:r>
      <w:r>
        <w:t xml:space="preserve"> </w:t>
      </w:r>
    </w:p>
    <w:p w:rsidR="00A72E57" w:rsidRDefault="00A72E57" w:rsidP="00DE4B9E">
      <w:pPr>
        <w:pStyle w:val="ListParagraph"/>
        <w:numPr>
          <w:ilvl w:val="0"/>
          <w:numId w:val="36"/>
        </w:numPr>
      </w:pPr>
      <w:r>
        <w:t xml:space="preserve">The preparation for the </w:t>
      </w:r>
      <w:r w:rsidR="00027A8C">
        <w:t>first phase</w:t>
      </w:r>
      <w:r>
        <w:t xml:space="preserve"> of properties at Barton Park</w:t>
      </w:r>
      <w:r w:rsidR="00027A8C">
        <w:t xml:space="preserve"> to be purchased by the company</w:t>
      </w:r>
      <w:r>
        <w:t xml:space="preserve"> upon completion.</w:t>
      </w:r>
    </w:p>
    <w:p w:rsidR="00A72E57" w:rsidRDefault="00A72E57" w:rsidP="00DE4B9E">
      <w:pPr>
        <w:pStyle w:val="ListParagraph"/>
        <w:numPr>
          <w:ilvl w:val="0"/>
          <w:numId w:val="36"/>
        </w:numPr>
      </w:pPr>
      <w:r>
        <w:t>The identification of voids for purchase</w:t>
      </w:r>
    </w:p>
    <w:p w:rsidR="00A72E57" w:rsidRDefault="0008106A" w:rsidP="00DE4B9E">
      <w:pPr>
        <w:pStyle w:val="ListParagraph"/>
        <w:numPr>
          <w:ilvl w:val="0"/>
          <w:numId w:val="36"/>
        </w:numPr>
      </w:pPr>
      <w:r>
        <w:lastRenderedPageBreak/>
        <w:t xml:space="preserve">The </w:t>
      </w:r>
      <w:r w:rsidR="00997820">
        <w:t>preparation of</w:t>
      </w:r>
      <w:r w:rsidR="00A72E57">
        <w:t xml:space="preserve"> an initial development programme</w:t>
      </w:r>
      <w:r>
        <w:t>.</w:t>
      </w:r>
    </w:p>
    <w:p w:rsidR="00F65A5F" w:rsidRDefault="00F65A5F" w:rsidP="00DE4B9E"/>
    <w:p w:rsidR="001949BD" w:rsidRDefault="001949BD" w:rsidP="007A370A">
      <w:pPr>
        <w:pStyle w:val="Numberedlist"/>
      </w:pPr>
      <w:r>
        <w:t xml:space="preserve">Two potential estate regeneration schemes have been identified on Blackbird Leys and Barton and are being worked on, but these are subject to detailed viability assessments and funding capacity and so as yet are not included in the company’s business </w:t>
      </w:r>
      <w:r w:rsidR="00027A8C">
        <w:t>plan. This will be subject to further Council consideration as to the most appropriate delivery vehicle for these schemes</w:t>
      </w:r>
    </w:p>
    <w:p w:rsidR="001949BD" w:rsidRDefault="001949BD" w:rsidP="007A370A">
      <w:pPr>
        <w:pStyle w:val="Numberedlist"/>
      </w:pPr>
      <w:r>
        <w:t>Appendix 1 provides the detail of the initial development programme which will provide 1</w:t>
      </w:r>
      <w:r w:rsidR="003C4E82">
        <w:t>62</w:t>
      </w:r>
      <w:r>
        <w:t xml:space="preserve"> new homes across a range of tenures</w:t>
      </w:r>
      <w:r w:rsidR="00C03E1E">
        <w:t xml:space="preserve"> over the next 3 years</w:t>
      </w:r>
      <w:r>
        <w:t>. The majority of the sites are already in Council ownership</w:t>
      </w:r>
      <w:r w:rsidR="00C03E1E">
        <w:t>.</w:t>
      </w:r>
    </w:p>
    <w:p w:rsidR="001949BD" w:rsidRDefault="00C03E1E" w:rsidP="007A370A">
      <w:pPr>
        <w:pStyle w:val="Numberedlist"/>
      </w:pPr>
      <w:r>
        <w:t xml:space="preserve">The company is in the final stage of development of its business plan with </w:t>
      </w:r>
      <w:r w:rsidR="00653DB1">
        <w:t>Company Board approval</w:t>
      </w:r>
      <w:r>
        <w:t xml:space="preserve"> expected in </w:t>
      </w:r>
      <w:r w:rsidR="00887B14">
        <w:t>February</w:t>
      </w:r>
      <w:r>
        <w:t xml:space="preserve"> 2017.</w:t>
      </w:r>
    </w:p>
    <w:p w:rsidR="00DE4B9E" w:rsidRDefault="00DE4B9E" w:rsidP="00DE4B9E"/>
    <w:p w:rsidR="00DE4B9E" w:rsidRDefault="0008106A" w:rsidP="007A370A">
      <w:pPr>
        <w:pStyle w:val="Heading1"/>
      </w:pPr>
      <w:r w:rsidRPr="00DE4B9E">
        <w:t>Sale</w:t>
      </w:r>
      <w:r w:rsidR="00DE4B9E" w:rsidRPr="00DE4B9E">
        <w:t xml:space="preserve"> of 5 properties</w:t>
      </w:r>
    </w:p>
    <w:p w:rsidR="007E7D40" w:rsidRPr="007A370A" w:rsidRDefault="00DE4B9E" w:rsidP="00917071">
      <w:pPr>
        <w:pStyle w:val="Numberedlist"/>
      </w:pPr>
      <w:r w:rsidRPr="00DE4B9E">
        <w:t>CEB</w:t>
      </w:r>
      <w:r>
        <w:t xml:space="preserve"> ha</w:t>
      </w:r>
      <w:r w:rsidR="00997820">
        <w:t>s</w:t>
      </w:r>
      <w:r>
        <w:t xml:space="preserve"> previously agreed for the sale of 5 void properties </w:t>
      </w:r>
      <w:r w:rsidR="00107DEF">
        <w:t>to the Council’s housing company each year starting in 2016/17</w:t>
      </w:r>
      <w:r>
        <w:t xml:space="preserve"> </w:t>
      </w:r>
      <w:r w:rsidR="0008106A">
        <w:t xml:space="preserve">as part of the Council’s wider </w:t>
      </w:r>
      <w:r w:rsidR="00107DEF">
        <w:t>response</w:t>
      </w:r>
      <w:r w:rsidR="0008106A">
        <w:t xml:space="preserve"> to fund the </w:t>
      </w:r>
      <w:r w:rsidR="00653DB1">
        <w:t>Government’s high</w:t>
      </w:r>
      <w:r>
        <w:t xml:space="preserve"> value levy </w:t>
      </w:r>
      <w:r w:rsidR="00107DEF">
        <w:t>that does require</w:t>
      </w:r>
      <w:r w:rsidR="0008106A">
        <w:t xml:space="preserve"> local authority landlords to consider the sal</w:t>
      </w:r>
      <w:r w:rsidR="00107DEF">
        <w:t xml:space="preserve">e of </w:t>
      </w:r>
      <w:r w:rsidR="0008106A">
        <w:t>HRA assets to fund future payments.</w:t>
      </w:r>
      <w:r w:rsidR="00997820">
        <w:t xml:space="preserve"> The timing and detail of the levy remains unclear and whilst some provision has been made </w:t>
      </w:r>
      <w:r w:rsidR="00997820" w:rsidRPr="00917071">
        <w:t>within our business plan, this sale would provide an additional receipt</w:t>
      </w:r>
      <w:r w:rsidR="00917071" w:rsidRPr="00917071">
        <w:t xml:space="preserve">. </w:t>
      </w:r>
      <w:r w:rsidR="00917071">
        <w:t xml:space="preserve">This </w:t>
      </w:r>
      <w:r w:rsidR="00107DEF">
        <w:t>approach also</w:t>
      </w:r>
      <w:r>
        <w:t xml:space="preserve"> prevent</w:t>
      </w:r>
      <w:r w:rsidR="00107DEF">
        <w:t>s</w:t>
      </w:r>
      <w:r>
        <w:t xml:space="preserve"> them being lost from the affordable rented market.</w:t>
      </w:r>
      <w:r w:rsidR="00997820">
        <w:t xml:space="preserve"> In addition last </w:t>
      </w:r>
      <w:r w:rsidR="00152FC8">
        <w:t>year’s</w:t>
      </w:r>
      <w:r w:rsidR="00107DEF">
        <w:t xml:space="preserve"> </w:t>
      </w:r>
      <w:r w:rsidR="001A3B83">
        <w:t xml:space="preserve">HRA business plan included investment in properties that had been identified suitable for either extension to provide a larger unit or had a plot suitable for additional unit(s). Following the Government policy changes </w:t>
      </w:r>
      <w:r w:rsidR="00152FC8">
        <w:t>this HRA</w:t>
      </w:r>
      <w:r w:rsidR="00997820">
        <w:t xml:space="preserve"> </w:t>
      </w:r>
      <w:r w:rsidR="001A3B83">
        <w:t>programme is not now fully funded and so it is proposed that 5 properties from that intended programme are now transferred to OCHL so the works can proceed</w:t>
      </w:r>
      <w:r w:rsidR="00997820">
        <w:t xml:space="preserve"> to provide much needed larger additional units</w:t>
      </w:r>
      <w:r w:rsidR="001A3B83">
        <w:t>.</w:t>
      </w:r>
    </w:p>
    <w:p w:rsidR="001A3B83" w:rsidRDefault="000C2973" w:rsidP="007A370A">
      <w:pPr>
        <w:pStyle w:val="Numberedlist"/>
      </w:pPr>
      <w:r w:rsidRPr="00027A8C">
        <w:t>The five properties that will make up the first batch of transfers are:</w:t>
      </w:r>
    </w:p>
    <w:p w:rsidR="007E7D40" w:rsidRPr="00027A8C" w:rsidRDefault="007E7D40" w:rsidP="00DE4B9E">
      <w:pPr>
        <w:rPr>
          <w:color w:val="auto"/>
        </w:rPr>
      </w:pPr>
    </w:p>
    <w:tbl>
      <w:tblPr>
        <w:tblStyle w:val="TableGrid"/>
        <w:tblW w:w="0" w:type="auto"/>
        <w:tblLook w:val="04A0" w:firstRow="1" w:lastRow="0" w:firstColumn="1" w:lastColumn="0" w:noHBand="0" w:noVBand="1"/>
      </w:tblPr>
      <w:tblGrid>
        <w:gridCol w:w="3171"/>
        <w:gridCol w:w="3171"/>
        <w:gridCol w:w="3172"/>
      </w:tblGrid>
      <w:tr w:rsidR="005B08D4" w:rsidTr="005B08D4">
        <w:tc>
          <w:tcPr>
            <w:tcW w:w="3171" w:type="dxa"/>
          </w:tcPr>
          <w:p w:rsidR="005B08D4" w:rsidRDefault="005B08D4" w:rsidP="00DE4B9E">
            <w:pPr>
              <w:rPr>
                <w:color w:val="auto"/>
              </w:rPr>
            </w:pPr>
            <w:r w:rsidRPr="00027A8C">
              <w:rPr>
                <w:color w:val="auto"/>
              </w:rPr>
              <w:t>32 Union Street</w:t>
            </w:r>
          </w:p>
        </w:tc>
        <w:tc>
          <w:tcPr>
            <w:tcW w:w="3171" w:type="dxa"/>
          </w:tcPr>
          <w:p w:rsidR="005B08D4" w:rsidRDefault="005B08D4" w:rsidP="00DE4B9E">
            <w:pPr>
              <w:rPr>
                <w:color w:val="auto"/>
              </w:rPr>
            </w:pPr>
            <w:r w:rsidRPr="00027A8C">
              <w:rPr>
                <w:color w:val="auto"/>
              </w:rPr>
              <w:t>2 bed house</w:t>
            </w:r>
          </w:p>
        </w:tc>
        <w:tc>
          <w:tcPr>
            <w:tcW w:w="3172" w:type="dxa"/>
          </w:tcPr>
          <w:p w:rsidR="005B08D4" w:rsidRDefault="005B08D4" w:rsidP="00DE4B9E">
            <w:pPr>
              <w:rPr>
                <w:color w:val="auto"/>
              </w:rPr>
            </w:pPr>
            <w:r>
              <w:rPr>
                <w:color w:val="auto"/>
              </w:rPr>
              <w:t>£150,000</w:t>
            </w:r>
          </w:p>
        </w:tc>
      </w:tr>
      <w:tr w:rsidR="005B08D4" w:rsidTr="005B08D4">
        <w:tc>
          <w:tcPr>
            <w:tcW w:w="3171" w:type="dxa"/>
          </w:tcPr>
          <w:p w:rsidR="005B08D4" w:rsidRDefault="005B08D4" w:rsidP="00DE4B9E">
            <w:pPr>
              <w:rPr>
                <w:color w:val="auto"/>
              </w:rPr>
            </w:pPr>
            <w:r w:rsidRPr="00027A8C">
              <w:rPr>
                <w:color w:val="auto"/>
              </w:rPr>
              <w:t>9 Pauling Road</w:t>
            </w:r>
          </w:p>
        </w:tc>
        <w:tc>
          <w:tcPr>
            <w:tcW w:w="3171" w:type="dxa"/>
          </w:tcPr>
          <w:p w:rsidR="005B08D4" w:rsidRDefault="005B08D4" w:rsidP="00DE4B9E">
            <w:pPr>
              <w:rPr>
                <w:color w:val="auto"/>
              </w:rPr>
            </w:pPr>
            <w:r w:rsidRPr="00027A8C">
              <w:rPr>
                <w:color w:val="auto"/>
              </w:rPr>
              <w:t>3 bed house</w:t>
            </w:r>
          </w:p>
        </w:tc>
        <w:tc>
          <w:tcPr>
            <w:tcW w:w="3172" w:type="dxa"/>
          </w:tcPr>
          <w:p w:rsidR="005B08D4" w:rsidRDefault="005B08D4" w:rsidP="00DE4B9E">
            <w:pPr>
              <w:rPr>
                <w:color w:val="auto"/>
              </w:rPr>
            </w:pPr>
            <w:r>
              <w:rPr>
                <w:color w:val="auto"/>
              </w:rPr>
              <w:t>£135,000</w:t>
            </w:r>
          </w:p>
        </w:tc>
      </w:tr>
      <w:tr w:rsidR="005B08D4" w:rsidTr="005B08D4">
        <w:tc>
          <w:tcPr>
            <w:tcW w:w="3171" w:type="dxa"/>
          </w:tcPr>
          <w:p w:rsidR="005B08D4" w:rsidRDefault="005B08D4" w:rsidP="00DE4B9E">
            <w:pPr>
              <w:rPr>
                <w:color w:val="auto"/>
              </w:rPr>
            </w:pPr>
            <w:r w:rsidRPr="00027A8C">
              <w:rPr>
                <w:color w:val="auto"/>
              </w:rPr>
              <w:t>66 Sandy Lane</w:t>
            </w:r>
          </w:p>
        </w:tc>
        <w:tc>
          <w:tcPr>
            <w:tcW w:w="3171" w:type="dxa"/>
          </w:tcPr>
          <w:p w:rsidR="005B08D4" w:rsidRDefault="005B08D4" w:rsidP="00DE4B9E">
            <w:pPr>
              <w:rPr>
                <w:color w:val="auto"/>
              </w:rPr>
            </w:pPr>
            <w:r w:rsidRPr="00027A8C">
              <w:rPr>
                <w:color w:val="auto"/>
              </w:rPr>
              <w:t>3 bed house</w:t>
            </w:r>
          </w:p>
        </w:tc>
        <w:tc>
          <w:tcPr>
            <w:tcW w:w="3172" w:type="dxa"/>
          </w:tcPr>
          <w:p w:rsidR="005B08D4" w:rsidRDefault="005B08D4" w:rsidP="00DE4B9E">
            <w:pPr>
              <w:rPr>
                <w:color w:val="auto"/>
              </w:rPr>
            </w:pPr>
            <w:r>
              <w:rPr>
                <w:color w:val="auto"/>
              </w:rPr>
              <w:t>£120,000</w:t>
            </w:r>
          </w:p>
        </w:tc>
      </w:tr>
      <w:tr w:rsidR="005B08D4" w:rsidTr="005B08D4">
        <w:tc>
          <w:tcPr>
            <w:tcW w:w="3171" w:type="dxa"/>
          </w:tcPr>
          <w:p w:rsidR="005B08D4" w:rsidRDefault="005B08D4" w:rsidP="00DE4B9E">
            <w:pPr>
              <w:rPr>
                <w:color w:val="auto"/>
              </w:rPr>
            </w:pPr>
            <w:r w:rsidRPr="00027A8C">
              <w:rPr>
                <w:color w:val="auto"/>
              </w:rPr>
              <w:t>26 Valentia Road</w:t>
            </w:r>
          </w:p>
        </w:tc>
        <w:tc>
          <w:tcPr>
            <w:tcW w:w="3171" w:type="dxa"/>
          </w:tcPr>
          <w:p w:rsidR="005B08D4" w:rsidRDefault="005B08D4" w:rsidP="00DE4B9E">
            <w:pPr>
              <w:rPr>
                <w:color w:val="auto"/>
              </w:rPr>
            </w:pPr>
            <w:r w:rsidRPr="00027A8C">
              <w:rPr>
                <w:color w:val="auto"/>
              </w:rPr>
              <w:t>3 bed house</w:t>
            </w:r>
          </w:p>
        </w:tc>
        <w:tc>
          <w:tcPr>
            <w:tcW w:w="3172" w:type="dxa"/>
          </w:tcPr>
          <w:p w:rsidR="005B08D4" w:rsidRDefault="005B08D4" w:rsidP="00DE4B9E">
            <w:pPr>
              <w:rPr>
                <w:color w:val="auto"/>
              </w:rPr>
            </w:pPr>
            <w:r>
              <w:rPr>
                <w:color w:val="auto"/>
              </w:rPr>
              <w:t>£165,000</w:t>
            </w:r>
          </w:p>
        </w:tc>
      </w:tr>
      <w:tr w:rsidR="005B08D4" w:rsidTr="005B08D4">
        <w:tc>
          <w:tcPr>
            <w:tcW w:w="3171" w:type="dxa"/>
          </w:tcPr>
          <w:p w:rsidR="005B08D4" w:rsidRDefault="005B08D4" w:rsidP="00DE4B9E">
            <w:pPr>
              <w:rPr>
                <w:color w:val="auto"/>
              </w:rPr>
            </w:pPr>
            <w:r w:rsidRPr="00027A8C">
              <w:rPr>
                <w:color w:val="auto"/>
              </w:rPr>
              <w:t>2 Dynham Place</w:t>
            </w:r>
          </w:p>
        </w:tc>
        <w:tc>
          <w:tcPr>
            <w:tcW w:w="3171" w:type="dxa"/>
          </w:tcPr>
          <w:p w:rsidR="005B08D4" w:rsidRDefault="005B08D4" w:rsidP="00DE4B9E">
            <w:pPr>
              <w:rPr>
                <w:color w:val="auto"/>
              </w:rPr>
            </w:pPr>
            <w:r w:rsidRPr="00027A8C">
              <w:rPr>
                <w:color w:val="auto"/>
              </w:rPr>
              <w:t>4 bed house</w:t>
            </w:r>
          </w:p>
        </w:tc>
        <w:tc>
          <w:tcPr>
            <w:tcW w:w="3172" w:type="dxa"/>
          </w:tcPr>
          <w:p w:rsidR="005B08D4" w:rsidRDefault="005B08D4" w:rsidP="00DE4B9E">
            <w:pPr>
              <w:rPr>
                <w:color w:val="auto"/>
              </w:rPr>
            </w:pPr>
            <w:r>
              <w:rPr>
                <w:color w:val="auto"/>
              </w:rPr>
              <w:t>£160,000</w:t>
            </w:r>
          </w:p>
        </w:tc>
      </w:tr>
    </w:tbl>
    <w:p w:rsidR="000C2973" w:rsidRPr="00027A8C" w:rsidRDefault="000C2973" w:rsidP="00DE4B9E">
      <w:pPr>
        <w:rPr>
          <w:color w:val="auto"/>
        </w:rPr>
      </w:pPr>
      <w:r w:rsidRPr="00027A8C">
        <w:rPr>
          <w:color w:val="auto"/>
        </w:rPr>
        <w:t xml:space="preserve"> </w:t>
      </w:r>
    </w:p>
    <w:p w:rsidR="00076D3A" w:rsidRDefault="000C2973" w:rsidP="007A370A">
      <w:pPr>
        <w:pStyle w:val="Numberedlist"/>
      </w:pPr>
      <w:r w:rsidRPr="007E7D40">
        <w:t xml:space="preserve">The properties will be transferred on the condition that they are let at </w:t>
      </w:r>
      <w:r w:rsidR="00997820" w:rsidRPr="007E7D40">
        <w:t xml:space="preserve">a rent not exceeding </w:t>
      </w:r>
      <w:r w:rsidRPr="007E7D40">
        <w:t xml:space="preserve">Local Housing Allowance </w:t>
      </w:r>
      <w:r w:rsidR="00997820" w:rsidRPr="007E7D40">
        <w:t>levels</w:t>
      </w:r>
      <w:r w:rsidR="00136E0C" w:rsidRPr="007E7D40">
        <w:t xml:space="preserve"> </w:t>
      </w:r>
      <w:r w:rsidR="00997820" w:rsidRPr="007E7D40">
        <w:t>in perpetuity</w:t>
      </w:r>
      <w:r w:rsidRPr="007E7D40">
        <w:t xml:space="preserve"> to households nominated by the Council. </w:t>
      </w:r>
      <w:r w:rsidR="005B08D4" w:rsidRPr="007E7D40">
        <w:t xml:space="preserve">Oxford City Council is under a duty to obtain the best consideration reasonably obtainable and the values of these properties has been certified as representing a fair market value by its internal valuer considering the </w:t>
      </w:r>
      <w:r w:rsidR="007E7D40" w:rsidRPr="007E7D40">
        <w:t>on-going</w:t>
      </w:r>
      <w:r w:rsidR="005B08D4" w:rsidRPr="007E7D40">
        <w:t xml:space="preserve"> restrictions placed on their use.</w:t>
      </w:r>
      <w:r w:rsidR="00076D3A">
        <w:t xml:space="preserve"> </w:t>
      </w:r>
      <w:r w:rsidR="00076D3A" w:rsidRPr="00D611A0">
        <w:t>Verification of these valuations is being sought from an</w:t>
      </w:r>
      <w:r w:rsidR="00076D3A">
        <w:t xml:space="preserve"> </w:t>
      </w:r>
      <w:r w:rsidR="00076D3A" w:rsidRPr="00D611A0">
        <w:t>external independent valuer.</w:t>
      </w:r>
    </w:p>
    <w:p w:rsidR="0040736F" w:rsidRPr="00152FC8" w:rsidRDefault="002329CF" w:rsidP="00997820">
      <w:pPr>
        <w:rPr>
          <w:b/>
          <w:color w:val="FF0000"/>
        </w:rPr>
      </w:pPr>
      <w:r w:rsidRPr="00152FC8">
        <w:rPr>
          <w:b/>
        </w:rPr>
        <w:lastRenderedPageBreak/>
        <w:t>Financial implications</w:t>
      </w:r>
      <w:r w:rsidR="00F65A5F" w:rsidRPr="00152FC8">
        <w:rPr>
          <w:b/>
        </w:rPr>
        <w:t xml:space="preserve"> </w:t>
      </w:r>
    </w:p>
    <w:p w:rsidR="00E87F7A" w:rsidRPr="001356F1" w:rsidRDefault="00923E89" w:rsidP="00DE4B9E">
      <w:pPr>
        <w:pStyle w:val="Numberedlist"/>
      </w:pPr>
      <w:r>
        <w:t>The Housing Company will be given a loan at state aid compliant rates for the purchase of the five properties detailed in paragraph</w:t>
      </w:r>
      <w:r w:rsidR="00B33DFF">
        <w:t>10</w:t>
      </w:r>
      <w:r>
        <w:t xml:space="preserve"> </w:t>
      </w:r>
      <w:r w:rsidR="00B33DFF">
        <w:t>for</w:t>
      </w:r>
      <w:r>
        <w:t xml:space="preserve"> the sum of £</w:t>
      </w:r>
      <w:r w:rsidR="005B08D4">
        <w:t>742,606</w:t>
      </w:r>
      <w:r>
        <w:t xml:space="preserve"> inclusive of costs which will be included in the Council</w:t>
      </w:r>
      <w:r w:rsidR="00B33DFF">
        <w:t>’</w:t>
      </w:r>
      <w:r>
        <w:t xml:space="preserve">s Capital Programme. In a back to back transaction the Housing Company will pay the Council a capital receipt to the same value and service the resulting debt from net income arising from the properties.  </w:t>
      </w:r>
    </w:p>
    <w:p w:rsidR="00653DB1" w:rsidRPr="00653DB1" w:rsidRDefault="00DA614B" w:rsidP="00DE4B9E">
      <w:pPr>
        <w:pStyle w:val="Heading1"/>
        <w:rPr>
          <w:color w:val="auto"/>
        </w:rPr>
      </w:pPr>
      <w:r w:rsidRPr="00653DB1">
        <w:rPr>
          <w:color w:val="auto"/>
        </w:rPr>
        <w:t>Legal issues</w:t>
      </w:r>
    </w:p>
    <w:p w:rsidR="00653DB1" w:rsidRPr="00653DB1" w:rsidRDefault="00653DB1" w:rsidP="00B33DFF">
      <w:pPr>
        <w:pStyle w:val="Numberedlist"/>
        <w:rPr>
          <w:b/>
        </w:rPr>
      </w:pPr>
      <w:r w:rsidRPr="00653DB1">
        <w:t>The sale of Council-owned properties to OCHL must be at market value, taking into consideration any restrictions or covenants imposed on the property.  Where the purchase of the properties are to be funded by loans from the Council, the detail of such loans should be documented, and care will need to be taken that the loans to OCHL are State Aid compliant - in effect, that the loans are made at a market interest rates.</w:t>
      </w:r>
    </w:p>
    <w:p w:rsidR="002329CF" w:rsidRPr="001356F1" w:rsidRDefault="00843DD1" w:rsidP="00DE4B9E">
      <w:pPr>
        <w:pStyle w:val="Heading1"/>
      </w:pPr>
      <w:r>
        <w:t>Risk</w:t>
      </w:r>
    </w:p>
    <w:p w:rsidR="00BC69A4" w:rsidRPr="001356F1" w:rsidRDefault="00412ED0" w:rsidP="00172A56">
      <w:pPr>
        <w:pStyle w:val="Numberedlist"/>
      </w:pPr>
      <w:r>
        <w:t>The risk register is attached at Appendix 2</w:t>
      </w:r>
      <w:r w:rsidR="0093067A" w:rsidRPr="001356F1">
        <w:t>.</w:t>
      </w:r>
    </w:p>
    <w:p w:rsidR="002329CF" w:rsidRPr="001356F1" w:rsidRDefault="002329CF" w:rsidP="00DE4B9E">
      <w:pPr>
        <w:pStyle w:val="Heading1"/>
      </w:pPr>
      <w:r w:rsidRPr="001356F1">
        <w:t xml:space="preserve">Equalities impact </w:t>
      </w:r>
    </w:p>
    <w:p w:rsidR="002329CF" w:rsidRPr="001356F1" w:rsidRDefault="00412ED0" w:rsidP="00172A56">
      <w:pPr>
        <w:pStyle w:val="Numberedlist"/>
      </w:pPr>
      <w:r>
        <w:t>The EA assessment is attached at Appendix 3</w:t>
      </w:r>
      <w:r w:rsidR="00E87F7A" w:rsidRPr="001356F1">
        <w:t>.</w:t>
      </w:r>
    </w:p>
    <w:p w:rsidR="002329CF" w:rsidRPr="001356F1" w:rsidRDefault="002329CF" w:rsidP="00DE4B9E"/>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DE4B9E">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43DD1" w:rsidP="00DE4B9E">
            <w:r>
              <w:t>Stephen Clarke</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DE4B9E">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43DD1" w:rsidP="00DE4B9E">
            <w:r>
              <w:t>Head of Housing and Property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DE4B9E">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412ED0" w:rsidP="00DE4B9E">
            <w:r>
              <w:t>Housing and Property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DE4B9E">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DE4B9E">
            <w:r w:rsidRPr="001356F1">
              <w:t xml:space="preserve">01865 </w:t>
            </w:r>
            <w:r w:rsidR="00412ED0">
              <w:t>252447</w:t>
            </w:r>
            <w:r w:rsidRPr="001356F1">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DE4B9E">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412ED0" w:rsidP="00DE4B9E">
            <w:pPr>
              <w:rPr>
                <w:rStyle w:val="Hyperlink"/>
                <w:color w:val="000000"/>
              </w:rPr>
            </w:pPr>
            <w:r>
              <w:rPr>
                <w:rStyle w:val="Hyperlink"/>
                <w:color w:val="000000"/>
              </w:rPr>
              <w:t>sclarke@oxford.gov.uk</w:t>
            </w:r>
          </w:p>
        </w:tc>
      </w:tr>
    </w:tbl>
    <w:p w:rsidR="00433B96" w:rsidRPr="001356F1" w:rsidRDefault="00433B96" w:rsidP="00DE4B9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172A56">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DE4B9E">
            <w:r w:rsidRPr="001356F1">
              <w:rPr>
                <w:rStyle w:val="Firstpagetablebold"/>
              </w:rPr>
              <w:t xml:space="preserve">Background Papers: </w:t>
            </w:r>
            <w:r w:rsidR="00DE18A4">
              <w:rPr>
                <w:rStyle w:val="Firstpagetablebold"/>
              </w:rPr>
              <w:t xml:space="preserve"> </w:t>
            </w:r>
            <w:r w:rsidR="00DE18A4" w:rsidRPr="00DE18A4">
              <w:rPr>
                <w:rStyle w:val="Firstpagetablebold"/>
                <w:b w:val="0"/>
              </w:rPr>
              <w:t>None</w:t>
            </w:r>
          </w:p>
        </w:tc>
      </w:tr>
    </w:tbl>
    <w:p w:rsidR="00CE4C87" w:rsidRDefault="00CE4C87" w:rsidP="00DE18A4"/>
    <w:sectPr w:rsidR="00CE4C87" w:rsidSect="00BC200B">
      <w:headerReference w:type="default" r:id="rId9"/>
      <w:footerReference w:type="even" r:id="rId10"/>
      <w:footerReference w:type="default" r:id="rId11"/>
      <w:headerReference w:type="first" r:id="rId12"/>
      <w:footerReference w:type="first" r:id="rId13"/>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1B" w:rsidRDefault="004B2E1B" w:rsidP="004A6D2F">
      <w:r>
        <w:separator/>
      </w:r>
    </w:p>
  </w:endnote>
  <w:endnote w:type="continuationSeparator" w:id="0">
    <w:p w:rsidR="004B2E1B" w:rsidRDefault="004B2E1B" w:rsidP="004A6D2F">
      <w:r>
        <w:continuationSeparator/>
      </w:r>
    </w:p>
  </w:endnote>
  <w:endnote w:type="continuationNotice" w:id="1">
    <w:p w:rsidR="00076D3A" w:rsidRDefault="00076D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3A" w:rsidRDefault="00076D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1B" w:rsidRDefault="004B2E1B" w:rsidP="004A6D2F">
      <w:r>
        <w:separator/>
      </w:r>
    </w:p>
  </w:footnote>
  <w:footnote w:type="continuationSeparator" w:id="0">
    <w:p w:rsidR="004B2E1B" w:rsidRDefault="004B2E1B" w:rsidP="004A6D2F">
      <w:r>
        <w:continuationSeparator/>
      </w:r>
    </w:p>
  </w:footnote>
  <w:footnote w:type="continuationNotice" w:id="1">
    <w:p w:rsidR="00076D3A" w:rsidRDefault="00076D3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3A" w:rsidRDefault="00076D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91171B" w:rsidP="00D5547E">
    <w:pPr>
      <w:pStyle w:val="Header"/>
      <w:jc w:val="right"/>
    </w:pPr>
    <w:r>
      <w:rPr>
        <w:noProof/>
      </w:rPr>
      <w:drawing>
        <wp:inline distT="0" distB="0" distL="0" distR="0" wp14:anchorId="50E43D38" wp14:editId="5F0D6F6C">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0B53D6D"/>
    <w:multiLevelType w:val="hybridMultilevel"/>
    <w:tmpl w:val="62C81786"/>
    <w:lvl w:ilvl="0" w:tplc="F8BCD09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B178CE"/>
    <w:multiLevelType w:val="hybridMultilevel"/>
    <w:tmpl w:val="96E07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2263A6A"/>
    <w:multiLevelType w:val="multilevel"/>
    <w:tmpl w:val="43D6D2FA"/>
    <w:numStyleLink w:val="StyleBulletedSymbolsymbolLeft063cmHanging063cm"/>
  </w:abstractNum>
  <w:abstractNum w:abstractNumId="20">
    <w:nsid w:val="22BE0C76"/>
    <w:multiLevelType w:val="hybridMultilevel"/>
    <w:tmpl w:val="6316AE94"/>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1">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ED663A"/>
    <w:multiLevelType w:val="hybridMultilevel"/>
    <w:tmpl w:val="29AE8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F31C25"/>
    <w:multiLevelType w:val="hybridMultilevel"/>
    <w:tmpl w:val="EAD0A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5374CC1"/>
    <w:multiLevelType w:val="hybridMultilevel"/>
    <w:tmpl w:val="8AE8744A"/>
    <w:lvl w:ilvl="0" w:tplc="9DD6A13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D55318"/>
    <w:multiLevelType w:val="hybridMultilevel"/>
    <w:tmpl w:val="9F76F934"/>
    <w:lvl w:ilvl="0" w:tplc="93E8957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nsid w:val="45D000FB"/>
    <w:multiLevelType w:val="hybridMultilevel"/>
    <w:tmpl w:val="31F25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ABA5FD8"/>
    <w:multiLevelType w:val="multilevel"/>
    <w:tmpl w:val="43D6D2FA"/>
    <w:numStyleLink w:val="StyleBulletedSymbolsymbolLeft063cmHanging063cm"/>
  </w:abstractNum>
  <w:abstractNum w:abstractNumId="35">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22831"/>
    <w:multiLevelType w:val="multilevel"/>
    <w:tmpl w:val="43D6D2FA"/>
    <w:numStyleLink w:val="StyleBulletedSymbolsymbolLeft063cmHanging063cm"/>
  </w:abstractNum>
  <w:abstractNum w:abstractNumId="37">
    <w:nsid w:val="642B09C0"/>
    <w:multiLevelType w:val="hybridMultilevel"/>
    <w:tmpl w:val="81643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4A605C6"/>
    <w:multiLevelType w:val="hybridMultilevel"/>
    <w:tmpl w:val="685AA16C"/>
    <w:lvl w:ilvl="0" w:tplc="6D56F77A">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9">
    <w:nsid w:val="6A9F2B3C"/>
    <w:multiLevelType w:val="multilevel"/>
    <w:tmpl w:val="60307750"/>
    <w:lvl w:ilvl="0">
      <w:start w:val="1"/>
      <w:numFmt w:val="decimal"/>
      <w:pStyle w:val="Numberedlist"/>
      <w:lvlText w:val="%1."/>
      <w:lvlJc w:val="left"/>
      <w:pPr>
        <w:ind w:left="720" w:hanging="360"/>
      </w:pPr>
      <w:rPr>
        <w:rFonts w:ascii="Arial" w:hAnsi="Arial"/>
        <w:b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3A02A8"/>
    <w:multiLevelType w:val="hybridMultilevel"/>
    <w:tmpl w:val="BF56E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A0E2CF5"/>
    <w:multiLevelType w:val="hybridMultilevel"/>
    <w:tmpl w:val="C864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F775AB"/>
    <w:multiLevelType w:val="singleLevel"/>
    <w:tmpl w:val="08090001"/>
    <w:lvl w:ilvl="0">
      <w:start w:val="1"/>
      <w:numFmt w:val="bullet"/>
      <w:lvlText w:val=""/>
      <w:lvlJc w:val="left"/>
      <w:pPr>
        <w:ind w:left="720" w:hanging="360"/>
      </w:pPr>
      <w:rPr>
        <w:rFonts w:ascii="Symbol" w:hAnsi="Symbol" w:hint="default"/>
        <w:color w:val="000000"/>
        <w:sz w:val="24"/>
      </w:rPr>
    </w:lvl>
  </w:abstractNum>
  <w:num w:numId="1">
    <w:abstractNumId w:val="33"/>
  </w:num>
  <w:num w:numId="2">
    <w:abstractNumId w:val="40"/>
  </w:num>
  <w:num w:numId="3">
    <w:abstractNumId w:val="30"/>
  </w:num>
  <w:num w:numId="4">
    <w:abstractNumId w:val="21"/>
  </w:num>
  <w:num w:numId="5">
    <w:abstractNumId w:val="35"/>
  </w:num>
  <w:num w:numId="6">
    <w:abstractNumId w:val="42"/>
  </w:num>
  <w:num w:numId="7">
    <w:abstractNumId w:val="27"/>
  </w:num>
  <w:num w:numId="8">
    <w:abstractNumId w:val="25"/>
  </w:num>
  <w:num w:numId="9">
    <w:abstractNumId w:val="14"/>
  </w:num>
  <w:num w:numId="10">
    <w:abstractNumId w:val="17"/>
  </w:num>
  <w:num w:numId="11">
    <w:abstractNumId w:val="32"/>
  </w:num>
  <w:num w:numId="12">
    <w:abstractNumId w:val="31"/>
  </w:num>
  <w:num w:numId="13">
    <w:abstractNumId w:val="11"/>
  </w:num>
  <w:num w:numId="14">
    <w:abstractNumId w:val="44"/>
  </w:num>
  <w:num w:numId="15">
    <w:abstractNumId w:val="18"/>
  </w:num>
  <w:num w:numId="16">
    <w:abstractNumId w:val="12"/>
  </w:num>
  <w:num w:numId="17">
    <w:abstractNumId w:val="34"/>
  </w:num>
  <w:num w:numId="18">
    <w:abstractNumId w:val="13"/>
  </w:num>
  <w:num w:numId="19">
    <w:abstractNumId w:val="36"/>
  </w:num>
  <w:num w:numId="20">
    <w:abstractNumId w:val="19"/>
  </w:num>
  <w:num w:numId="21">
    <w:abstractNumId w:val="26"/>
  </w:num>
  <w:num w:numId="22">
    <w:abstractNumId w:val="15"/>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6"/>
  </w:num>
  <w:num w:numId="35">
    <w:abstractNumId w:val="28"/>
  </w:num>
  <w:num w:numId="36">
    <w:abstractNumId w:val="43"/>
  </w:num>
  <w:num w:numId="37">
    <w:abstractNumId w:val="20"/>
  </w:num>
  <w:num w:numId="38">
    <w:abstractNumId w:val="22"/>
  </w:num>
  <w:num w:numId="39">
    <w:abstractNumId w:val="37"/>
  </w:num>
  <w:num w:numId="40">
    <w:abstractNumId w:val="23"/>
  </w:num>
  <w:num w:numId="41">
    <w:abstractNumId w:val="29"/>
  </w:num>
  <w:num w:numId="42">
    <w:abstractNumId w:val="24"/>
  </w:num>
  <w:num w:numId="43">
    <w:abstractNumId w:val="10"/>
  </w:num>
  <w:num w:numId="44">
    <w:abstractNumId w:val="41"/>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1B"/>
    <w:rsid w:val="000117D4"/>
    <w:rsid w:val="00020B75"/>
    <w:rsid w:val="00027A8C"/>
    <w:rsid w:val="000314D7"/>
    <w:rsid w:val="0003656A"/>
    <w:rsid w:val="00045F8B"/>
    <w:rsid w:val="00046D2B"/>
    <w:rsid w:val="00056263"/>
    <w:rsid w:val="00064D8A"/>
    <w:rsid w:val="00064F82"/>
    <w:rsid w:val="00066510"/>
    <w:rsid w:val="00076D3A"/>
    <w:rsid w:val="00077523"/>
    <w:rsid w:val="0008106A"/>
    <w:rsid w:val="000C089F"/>
    <w:rsid w:val="000C2973"/>
    <w:rsid w:val="000C3928"/>
    <w:rsid w:val="000C5E8E"/>
    <w:rsid w:val="000D2CDC"/>
    <w:rsid w:val="000F13AE"/>
    <w:rsid w:val="000F4751"/>
    <w:rsid w:val="0010524C"/>
    <w:rsid w:val="00107DEF"/>
    <w:rsid w:val="00111FB1"/>
    <w:rsid w:val="00113418"/>
    <w:rsid w:val="001356F1"/>
    <w:rsid w:val="00136994"/>
    <w:rsid w:val="00136E0C"/>
    <w:rsid w:val="0014128E"/>
    <w:rsid w:val="00151888"/>
    <w:rsid w:val="00152FC8"/>
    <w:rsid w:val="00170A2D"/>
    <w:rsid w:val="00172A56"/>
    <w:rsid w:val="001808BC"/>
    <w:rsid w:val="00182B81"/>
    <w:rsid w:val="0018619D"/>
    <w:rsid w:val="001949BD"/>
    <w:rsid w:val="0019629A"/>
    <w:rsid w:val="001A011E"/>
    <w:rsid w:val="001A066A"/>
    <w:rsid w:val="001A13E6"/>
    <w:rsid w:val="001A3B83"/>
    <w:rsid w:val="001A4AD2"/>
    <w:rsid w:val="001A5731"/>
    <w:rsid w:val="001B42C3"/>
    <w:rsid w:val="001C5D5E"/>
    <w:rsid w:val="001D678D"/>
    <w:rsid w:val="001E03F8"/>
    <w:rsid w:val="001E1678"/>
    <w:rsid w:val="001E3376"/>
    <w:rsid w:val="001E5120"/>
    <w:rsid w:val="001F712D"/>
    <w:rsid w:val="002069B3"/>
    <w:rsid w:val="002329CF"/>
    <w:rsid w:val="00232F5B"/>
    <w:rsid w:val="00247C29"/>
    <w:rsid w:val="00260467"/>
    <w:rsid w:val="00263EA3"/>
    <w:rsid w:val="0026756C"/>
    <w:rsid w:val="00284F85"/>
    <w:rsid w:val="00290915"/>
    <w:rsid w:val="002A22E2"/>
    <w:rsid w:val="002C64F7"/>
    <w:rsid w:val="002E5830"/>
    <w:rsid w:val="002F41F2"/>
    <w:rsid w:val="00301BF3"/>
    <w:rsid w:val="0030208D"/>
    <w:rsid w:val="00323418"/>
    <w:rsid w:val="003262CB"/>
    <w:rsid w:val="0033030B"/>
    <w:rsid w:val="003357BF"/>
    <w:rsid w:val="00364FAD"/>
    <w:rsid w:val="0036738F"/>
    <w:rsid w:val="0036759C"/>
    <w:rsid w:val="00367AE5"/>
    <w:rsid w:val="00367D71"/>
    <w:rsid w:val="0038150A"/>
    <w:rsid w:val="003B6E75"/>
    <w:rsid w:val="003B7DA1"/>
    <w:rsid w:val="003C02F3"/>
    <w:rsid w:val="003C4E82"/>
    <w:rsid w:val="003C7577"/>
    <w:rsid w:val="003D0379"/>
    <w:rsid w:val="003D2574"/>
    <w:rsid w:val="003D4C59"/>
    <w:rsid w:val="003F4267"/>
    <w:rsid w:val="00404032"/>
    <w:rsid w:val="00404487"/>
    <w:rsid w:val="0040736F"/>
    <w:rsid w:val="00412C1F"/>
    <w:rsid w:val="00412ED0"/>
    <w:rsid w:val="00421CB2"/>
    <w:rsid w:val="004268B9"/>
    <w:rsid w:val="00433B96"/>
    <w:rsid w:val="004440F1"/>
    <w:rsid w:val="004456DD"/>
    <w:rsid w:val="00446CDF"/>
    <w:rsid w:val="004521B7"/>
    <w:rsid w:val="00462AB5"/>
    <w:rsid w:val="00465EAF"/>
    <w:rsid w:val="004738C5"/>
    <w:rsid w:val="00491046"/>
    <w:rsid w:val="004A2AC7"/>
    <w:rsid w:val="004A6D2F"/>
    <w:rsid w:val="004B2E1B"/>
    <w:rsid w:val="004C2887"/>
    <w:rsid w:val="004D2626"/>
    <w:rsid w:val="004D6E26"/>
    <w:rsid w:val="004D77D3"/>
    <w:rsid w:val="004E2959"/>
    <w:rsid w:val="004F20EF"/>
    <w:rsid w:val="0050321C"/>
    <w:rsid w:val="005242E3"/>
    <w:rsid w:val="0054712D"/>
    <w:rsid w:val="00547EF6"/>
    <w:rsid w:val="005570B5"/>
    <w:rsid w:val="00567E18"/>
    <w:rsid w:val="00575F5F"/>
    <w:rsid w:val="005802BA"/>
    <w:rsid w:val="00581805"/>
    <w:rsid w:val="00585F76"/>
    <w:rsid w:val="00592FD1"/>
    <w:rsid w:val="005A34E4"/>
    <w:rsid w:val="005B08D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50811"/>
    <w:rsid w:val="00653DB1"/>
    <w:rsid w:val="00661D3E"/>
    <w:rsid w:val="00665A33"/>
    <w:rsid w:val="00692627"/>
    <w:rsid w:val="006969E7"/>
    <w:rsid w:val="006A3643"/>
    <w:rsid w:val="006C2A29"/>
    <w:rsid w:val="006C64CF"/>
    <w:rsid w:val="006D17B1"/>
    <w:rsid w:val="006D4752"/>
    <w:rsid w:val="006D708A"/>
    <w:rsid w:val="006E14C1"/>
    <w:rsid w:val="006F0292"/>
    <w:rsid w:val="006F27FA"/>
    <w:rsid w:val="006F416B"/>
    <w:rsid w:val="006F519B"/>
    <w:rsid w:val="00713675"/>
    <w:rsid w:val="00715823"/>
    <w:rsid w:val="00737B93"/>
    <w:rsid w:val="00740776"/>
    <w:rsid w:val="00745BF0"/>
    <w:rsid w:val="007520C0"/>
    <w:rsid w:val="007615FE"/>
    <w:rsid w:val="0076655C"/>
    <w:rsid w:val="007742DC"/>
    <w:rsid w:val="00791437"/>
    <w:rsid w:val="007953C4"/>
    <w:rsid w:val="007A370A"/>
    <w:rsid w:val="007B0C2C"/>
    <w:rsid w:val="007B278E"/>
    <w:rsid w:val="007C5C23"/>
    <w:rsid w:val="007E2A26"/>
    <w:rsid w:val="007E7D40"/>
    <w:rsid w:val="007F2348"/>
    <w:rsid w:val="00803F07"/>
    <w:rsid w:val="00806D1E"/>
    <w:rsid w:val="0080749A"/>
    <w:rsid w:val="00821FB8"/>
    <w:rsid w:val="00822ACD"/>
    <w:rsid w:val="0082325C"/>
    <w:rsid w:val="00843DD1"/>
    <w:rsid w:val="00855C66"/>
    <w:rsid w:val="00870B47"/>
    <w:rsid w:val="00871EE4"/>
    <w:rsid w:val="00887B14"/>
    <w:rsid w:val="008B293F"/>
    <w:rsid w:val="008B7371"/>
    <w:rsid w:val="008D3DDB"/>
    <w:rsid w:val="008E60F0"/>
    <w:rsid w:val="008F573F"/>
    <w:rsid w:val="008F68D4"/>
    <w:rsid w:val="009034EC"/>
    <w:rsid w:val="0091171B"/>
    <w:rsid w:val="00917071"/>
    <w:rsid w:val="00923E89"/>
    <w:rsid w:val="0093067A"/>
    <w:rsid w:val="00941C60"/>
    <w:rsid w:val="00966D42"/>
    <w:rsid w:val="00971689"/>
    <w:rsid w:val="00973E90"/>
    <w:rsid w:val="00975B07"/>
    <w:rsid w:val="00980B4A"/>
    <w:rsid w:val="00997820"/>
    <w:rsid w:val="009E3D0A"/>
    <w:rsid w:val="009E51FC"/>
    <w:rsid w:val="009F1D28"/>
    <w:rsid w:val="009F7618"/>
    <w:rsid w:val="00A04D23"/>
    <w:rsid w:val="00A06766"/>
    <w:rsid w:val="00A13765"/>
    <w:rsid w:val="00A21B12"/>
    <w:rsid w:val="00A23F80"/>
    <w:rsid w:val="00A46E98"/>
    <w:rsid w:val="00A57695"/>
    <w:rsid w:val="00A6352B"/>
    <w:rsid w:val="00A701B5"/>
    <w:rsid w:val="00A714BB"/>
    <w:rsid w:val="00A72E57"/>
    <w:rsid w:val="00A92D8F"/>
    <w:rsid w:val="00AA6A8E"/>
    <w:rsid w:val="00AB2988"/>
    <w:rsid w:val="00AB7999"/>
    <w:rsid w:val="00AD3292"/>
    <w:rsid w:val="00AE7AF0"/>
    <w:rsid w:val="00B31BFC"/>
    <w:rsid w:val="00B33DFF"/>
    <w:rsid w:val="00B3683D"/>
    <w:rsid w:val="00B500CA"/>
    <w:rsid w:val="00B86314"/>
    <w:rsid w:val="00BA1C2E"/>
    <w:rsid w:val="00BC200B"/>
    <w:rsid w:val="00BC4756"/>
    <w:rsid w:val="00BC69A4"/>
    <w:rsid w:val="00BE0680"/>
    <w:rsid w:val="00BE305F"/>
    <w:rsid w:val="00BE7BA3"/>
    <w:rsid w:val="00BF5682"/>
    <w:rsid w:val="00BF7B09"/>
    <w:rsid w:val="00C03E1E"/>
    <w:rsid w:val="00C20A95"/>
    <w:rsid w:val="00C237E3"/>
    <w:rsid w:val="00C2692F"/>
    <w:rsid w:val="00C3207C"/>
    <w:rsid w:val="00C3403E"/>
    <w:rsid w:val="00C400E1"/>
    <w:rsid w:val="00C41187"/>
    <w:rsid w:val="00C63C31"/>
    <w:rsid w:val="00C757A0"/>
    <w:rsid w:val="00C760DE"/>
    <w:rsid w:val="00C82630"/>
    <w:rsid w:val="00C85B4E"/>
    <w:rsid w:val="00C907F7"/>
    <w:rsid w:val="00CA2103"/>
    <w:rsid w:val="00CA2F30"/>
    <w:rsid w:val="00CB6B99"/>
    <w:rsid w:val="00CE4C87"/>
    <w:rsid w:val="00CE544A"/>
    <w:rsid w:val="00D11E1C"/>
    <w:rsid w:val="00D13D8C"/>
    <w:rsid w:val="00D160B0"/>
    <w:rsid w:val="00D17F94"/>
    <w:rsid w:val="00D223FC"/>
    <w:rsid w:val="00D26D1E"/>
    <w:rsid w:val="00D474CF"/>
    <w:rsid w:val="00D5547E"/>
    <w:rsid w:val="00D611A0"/>
    <w:rsid w:val="00D73CF5"/>
    <w:rsid w:val="00D869A1"/>
    <w:rsid w:val="00DA413F"/>
    <w:rsid w:val="00DA4584"/>
    <w:rsid w:val="00DA614B"/>
    <w:rsid w:val="00DC3060"/>
    <w:rsid w:val="00DE0FB2"/>
    <w:rsid w:val="00DE18A4"/>
    <w:rsid w:val="00DE4B9E"/>
    <w:rsid w:val="00DF093E"/>
    <w:rsid w:val="00E01F42"/>
    <w:rsid w:val="00E206D6"/>
    <w:rsid w:val="00E23CFD"/>
    <w:rsid w:val="00E304AD"/>
    <w:rsid w:val="00E3366E"/>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3566E"/>
    <w:rsid w:val="00F375FB"/>
    <w:rsid w:val="00F41AC1"/>
    <w:rsid w:val="00F4291B"/>
    <w:rsid w:val="00F4367A"/>
    <w:rsid w:val="00F445B1"/>
    <w:rsid w:val="00F45CD4"/>
    <w:rsid w:val="00F65A5F"/>
    <w:rsid w:val="00F66DCA"/>
    <w:rsid w:val="00F74F53"/>
    <w:rsid w:val="00F7606D"/>
    <w:rsid w:val="00F81670"/>
    <w:rsid w:val="00F82024"/>
    <w:rsid w:val="00F95BC9"/>
    <w:rsid w:val="00FA624C"/>
    <w:rsid w:val="00FD0FAC"/>
    <w:rsid w:val="00FD1DFA"/>
    <w:rsid w:val="00FD4966"/>
    <w:rsid w:val="00FE0626"/>
    <w:rsid w:val="00FE57DC"/>
    <w:rsid w:val="00FF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Default Paragraph Font" w:uiPriority="1"/>
    <w:lsdException w:name="Subtitle" w:uiPriority="11"/>
    <w:lsdException w:name="Hyperlink"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aliases w:val="Numbering"/>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aliases w:val="Numbering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7A370A"/>
    <w:pPr>
      <w:numPr>
        <w:numId w:val="23"/>
      </w:numPr>
      <w:ind w:left="426"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7A370A"/>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Default Paragraph Font" w:uiPriority="1"/>
    <w:lsdException w:name="Subtitle" w:uiPriority="11"/>
    <w:lsdException w:name="Hyperlink"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aliases w:val="Numbering"/>
    <w:basedOn w:val="Normal"/>
    <w:link w:val="ListParagraphChar"/>
    <w:uiPriority w:val="34"/>
    <w:qFormat/>
    <w:rsid w:val="005570B5"/>
    <w:p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aliases w:val="Numbering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7A370A"/>
    <w:pPr>
      <w:numPr>
        <w:numId w:val="23"/>
      </w:numPr>
      <w:ind w:left="426"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7A370A"/>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117956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91A8-DD7C-41F8-B87A-E4C510CF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9215D1F6</Template>
  <TotalTime>19</TotalTime>
  <Pages>4</Pages>
  <Words>1292</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sclarke</dc:creator>
  <cp:lastModifiedBy>sclaridge</cp:lastModifiedBy>
  <cp:revision>8</cp:revision>
  <cp:lastPrinted>2015-07-03T13:50:00Z</cp:lastPrinted>
  <dcterms:created xsi:type="dcterms:W3CDTF">2017-01-30T11:30:00Z</dcterms:created>
  <dcterms:modified xsi:type="dcterms:W3CDTF">2017-01-31T16:27:00Z</dcterms:modified>
</cp:coreProperties>
</file>